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A32E" w14:textId="598DEF3D" w:rsidR="00A77B3E" w:rsidRDefault="00E74C41">
      <w:pPr>
        <w:spacing w:before="120" w:after="120" w:line="360" w:lineRule="auto"/>
        <w:ind w:left="4886"/>
        <w:jc w:val="left"/>
      </w:pPr>
      <w:r>
        <w:t xml:space="preserve">Załącznik </w:t>
      </w:r>
      <w:r w:rsidR="00230497">
        <w:t>do uchwały nr BR.0007.18.120.2025</w:t>
      </w:r>
      <w:r w:rsidR="00230497">
        <w:br/>
        <w:t>Rady Gminy Gaszowice</w:t>
      </w:r>
      <w:r w:rsidR="00230497">
        <w:br/>
        <w:t>z dnia 30 października 2025 r.</w:t>
      </w:r>
    </w:p>
    <w:p w14:paraId="455FD209" w14:textId="77777777" w:rsidR="00A77B3E" w:rsidRDefault="00230497">
      <w:pPr>
        <w:spacing w:before="120" w:after="120"/>
        <w:ind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97133" w14:textId="77777777" w:rsidR="00A77B3E" w:rsidRDefault="00230497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Regulamin udzielania dofinansowania do budowy zbiorników na wody opadowe i roztopowe w Gminie Gaszowice.</w:t>
      </w:r>
    </w:p>
    <w:p w14:paraId="6D486167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Warunki otrzymania dofinansowania</w:t>
      </w:r>
    </w:p>
    <w:p w14:paraId="0CCDAF3F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Dofinasowanie zostanie przyznane na realizację inwestycji służących zatrzymywaniu wód opadowych i roztopowych w miejscu ich powstawania poprzez montaż:</w:t>
      </w:r>
    </w:p>
    <w:p w14:paraId="49C8BD0F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podziemnego szczelnego zbiornika do magazynowania wód opadowych i roztopowych,</w:t>
      </w:r>
    </w:p>
    <w:p w14:paraId="3509B2A1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naziemnego szczelnego zbiornika do magazynowania wód opadowych i roztopowych.</w:t>
      </w:r>
    </w:p>
    <w:p w14:paraId="50169D95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Podmiotami mogącymi się ubiegać o dofinansowanie są osoby fizyczne będące właścicielami, współwłaścicielami lub użytkownikami wieczystymi nieruchomości, na której znajduje się budynek mieszkalny jednorodzinny. Dofinansowanie może otrzymać również właściciel, współwłaściciel oraz użytkownik wieczysty </w:t>
      </w:r>
      <w:proofErr w:type="gramStart"/>
      <w:r>
        <w:rPr>
          <w:color w:val="000000"/>
          <w:u w:color="000000"/>
        </w:rPr>
        <w:t>nieruchomości</w:t>
      </w:r>
      <w:proofErr w:type="gramEnd"/>
      <w:r>
        <w:rPr>
          <w:color w:val="000000"/>
          <w:u w:color="000000"/>
        </w:rPr>
        <w:t xml:space="preserve"> na której rozpoczęto lub planuje się budowę budynku mieszkalnego jednorodzinnego z zastrzeżeniem, że budynki te muszą zostać oddane do użytkowania zgodnie z prawem, przed złożeniem dokumentów do rozliczenia dofinansowania.</w:t>
      </w:r>
    </w:p>
    <w:p w14:paraId="0EA847D5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Dofinansowanie na realizację inwestycji tego samego rodzaju opisanego w ust. 1, realizowana na tej samej nieruchomości, udzielane jest nie częściej niż raz na 10 lat.</w:t>
      </w:r>
    </w:p>
    <w:p w14:paraId="68D85CAA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Tryb udzielania dofinansowania</w:t>
      </w:r>
    </w:p>
    <w:p w14:paraId="4F67DEFE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Warunkiem skorzystania z dofinansowania jest złożenie przez Wnioskodawcę wniosku wraz z załącznikami stanowiącym załącznik nr 1 do Regulaminu.</w:t>
      </w:r>
    </w:p>
    <w:p w14:paraId="5EE28C11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wniosku wnioskodawca zobowiązany jest dołączyć:</w:t>
      </w:r>
    </w:p>
    <w:p w14:paraId="34244131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oświadczenie o tytule prawnym do dysponowania nieruchomością zgodnie z §1 ust. 2 niniejszego Regulaminu,</w:t>
      </w:r>
    </w:p>
    <w:p w14:paraId="6DE5C68C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pisemną zgodę wszystkich współwłaścicieli lub współużytkowników wieczystych,</w:t>
      </w:r>
    </w:p>
    <w:p w14:paraId="22FEC938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kopię pozwolenia na budowę lub zgłoszenia budowy budynku mieszkalnego jednorodzinnego, w przypadku, gdy inwestycja dotyczy budynku, który na dzień składania wniosku nie został oddany do użytkowania.</w:t>
      </w:r>
    </w:p>
    <w:p w14:paraId="237A339A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Koszty kwalifikowane</w:t>
      </w:r>
    </w:p>
    <w:p w14:paraId="221A4EA6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Dofinansowanie może zostać wydane na następujące cele (koszty kwalifikowane):</w:t>
      </w:r>
    </w:p>
    <w:p w14:paraId="6647F684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zakup zbiorników do magazynowania wód opadowych i roztopowych w szczelnych zbiornikach podziemnych lub naziemnych o pojemności sumarycznej minimum 2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, </w:t>
      </w:r>
    </w:p>
    <w:p w14:paraId="71C91957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dostawa zbiorników do magazynowania wód opadowych i roztopowych w szczelnych zbiornikach podziemnych lub naziemnych o pojemności sumarycznej minimum 2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,</w:t>
      </w:r>
    </w:p>
    <w:p w14:paraId="4ADE1451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montaż zbiorników do magazynowania wód opadowych i roztopowych w szczelnych zbiornikach podziemnych lub naziemnych o pojemności sumarycznej minimum 2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.</w:t>
      </w:r>
    </w:p>
    <w:p w14:paraId="44BE4F0D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Dofinansowanie może zostać wydane na jeden bądź więcej z celów wskazanych w ustępie poprzedzającym.</w:t>
      </w:r>
    </w:p>
    <w:p w14:paraId="53EB8794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Dofinansowanie nie może być udzielone na przedsięwzięcia, które były sfinansowane z innych środków publicznych (zakaz podwójnego finansowania).</w:t>
      </w:r>
    </w:p>
    <w:p w14:paraId="0DBD1B26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Dofinansowanie nie może być udzielone, jeśli zagospodarowane wody opadowe lub roztopowe będą wykorzystywane do prowadzenia działalności gospodarczej bądź działalności rolniczej.</w:t>
      </w:r>
    </w:p>
    <w:p w14:paraId="2AC7473D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Dofinansowane może być udzielone na przedsięwzięcia, które nie zostały zakończone przed dniem złożenia wniosku o dofinansowanie.</w:t>
      </w:r>
    </w:p>
    <w:p w14:paraId="3A04BF1C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Składanie i rozpatrywanie wniosków</w:t>
      </w:r>
    </w:p>
    <w:p w14:paraId="632467BE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Wnioski będą przyjmowane po uzyskaniu dofinansowania z Wojewódzkiego Funduszu Ochrony Środowiska i Gospodarki Wodnej.</w:t>
      </w:r>
    </w:p>
    <w:p w14:paraId="06ACC44F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Wnioski składa się w naborze ciągłym wg posiadanych środków.</w:t>
      </w:r>
    </w:p>
    <w:p w14:paraId="2CF3CDD6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Wnioski rozpatruje się według kolejności ich wpływu, datą złożenia wniosku jest data wpływu do Urzędu Gminy Gaszowice.</w:t>
      </w:r>
    </w:p>
    <w:p w14:paraId="202C5AFE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Wnioski niekompletne podlegają odrzuceniu.</w:t>
      </w:r>
    </w:p>
    <w:p w14:paraId="60AB8A5A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Kompletny wniosek stanowi podstawę do zawarcia umowy o dofinansowanie przed realizacją przedsięwzięcia inwestycyjnego.</w:t>
      </w:r>
    </w:p>
    <w:p w14:paraId="2FE794DC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Jeżeli wniosek jest niekompletny, wnioskodawca zostanie wezwany do uzupełnienia w terminie 7 dni od dnia doręczenia wezwania. Nieuzupełnienie wniosku w terminie bądź niekompletność wniosku pomimo uzupełnienia powodują pozostawienie wniosku bez dalszego biegu, o czym zawiadamia się Wnioskodawcę.</w:t>
      </w:r>
    </w:p>
    <w:p w14:paraId="6246808E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Wysokość dofinansowania</w:t>
      </w:r>
    </w:p>
    <w:p w14:paraId="45BEB01C" w14:textId="77777777" w:rsidR="00A77B3E" w:rsidRDefault="00230497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Dofinansowanie wynosi 50 % udokumentowanych kosztów kwalifikowanych netto, lecz nie więcej niż w kwocie 2000 zł.</w:t>
      </w:r>
    </w:p>
    <w:p w14:paraId="3F770AEC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Termin zakończenia i rozliczenia przedsięwzięcia</w:t>
      </w:r>
    </w:p>
    <w:p w14:paraId="54EAD706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Ostateczny termin zrealizowania przedsięwzięcia nie może przekroczyć 30 września 2026 roku.</w:t>
      </w:r>
    </w:p>
    <w:p w14:paraId="5047F278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Wypłata dofinansowania nastąpi po zakończeniu realizacji przedsięwzięcia zgodnie z warunkami umowy i po przedłożeniu prawidłowo rozliczenia zgodnie załącznikiem nr 2 do Regulaminu.</w:t>
      </w:r>
    </w:p>
    <w:p w14:paraId="732DD802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zakończeniu inwestycji, jednak nie później niż 30 września 2026 roku, Beneficjent dokonuje rozliczenia inwestycji, przedkładając co najmniej następujące dokumenty:</w:t>
      </w:r>
    </w:p>
    <w:p w14:paraId="40C4AC94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faktura bądź rachunek potwierdzający poniesione nakłady wystawione na Beneficjenta wraz z dowodami zapłaty (oryginały),</w:t>
      </w:r>
    </w:p>
    <w:p w14:paraId="541D7A50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zdjęcia nieruchomości przed i po wykonaniu inwestycji, obrazujące w szczególności wykonanie inwestycji,</w:t>
      </w:r>
    </w:p>
    <w:p w14:paraId="09EA3305" w14:textId="77777777" w:rsidR="00A77B3E" w:rsidRDefault="0023049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zawiadomienie o zakończeniu budowy – w przypadku budynków, które na dzień składania wniosku o dofinansowanie nie zostały oddane do użytkowania.</w:t>
      </w:r>
    </w:p>
    <w:p w14:paraId="78B40621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Wypłata dofinansowania nastąpi w terminie określonym w umowie.</w:t>
      </w:r>
    </w:p>
    <w:p w14:paraId="2D5C0C7C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Kontrola przedsięwzięcia inwestycyjnego</w:t>
      </w:r>
    </w:p>
    <w:p w14:paraId="3F57CB7C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Okres trwałości dla przedsięwzięcia wynosi 5 lat od daty zakończenia inwestycji.</w:t>
      </w:r>
    </w:p>
    <w:p w14:paraId="2626371B" w14:textId="77777777" w:rsidR="00A77B3E" w:rsidRDefault="0023049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Przez datę zakończenia należy rozumieć datę podpisania protokołu odbioru końcowego przez Beneficjenta i Instalatora bądź od dnia złożenia oświadczenia o samodzielnym wykonaniu prac.</w:t>
      </w:r>
    </w:p>
    <w:p w14:paraId="0D7B8CE4" w14:textId="59C9DC8E" w:rsidR="00E74C41" w:rsidRDefault="00230497" w:rsidP="00E74C4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okresie trwałości przedsięwzięcia Beneficjent jest zobowiązany do zachowania całości dokumentacji związanej z inwestycją.</w:t>
      </w:r>
    </w:p>
    <w:p w14:paraId="0D0CD531" w14:textId="351FD5F2" w:rsidR="00A77B3E" w:rsidRDefault="00A77B3E">
      <w:pPr>
        <w:spacing w:before="120" w:after="120"/>
        <w:ind w:firstLine="227"/>
        <w:jc w:val="left"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2695" w14:textId="77777777" w:rsidR="00C83F58" w:rsidRDefault="00C83F58">
      <w:r>
        <w:separator/>
      </w:r>
    </w:p>
  </w:endnote>
  <w:endnote w:type="continuationSeparator" w:id="0">
    <w:p w14:paraId="5FE47659" w14:textId="77777777" w:rsidR="00C83F58" w:rsidRDefault="00C8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E75C7" w14:paraId="320937A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699643" w14:textId="77777777" w:rsidR="001E75C7" w:rsidRDefault="00230497">
          <w:pPr>
            <w:jc w:val="left"/>
            <w:rPr>
              <w:sz w:val="18"/>
            </w:rPr>
          </w:pPr>
          <w:r w:rsidRPr="00E74C41">
            <w:rPr>
              <w:sz w:val="18"/>
              <w:lang w:val="en-US"/>
            </w:rPr>
            <w:t>Id: 00CF528C-1FBC-4C30-8D7F-0D68C73A0022.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B67091" w14:textId="368558D2" w:rsidR="001E75C7" w:rsidRDefault="002304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A7E3DF" w14:textId="77777777" w:rsidR="001E75C7" w:rsidRDefault="001E75C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D827" w14:textId="77777777" w:rsidR="00C83F58" w:rsidRDefault="00C83F58">
      <w:r>
        <w:separator/>
      </w:r>
    </w:p>
  </w:footnote>
  <w:footnote w:type="continuationSeparator" w:id="0">
    <w:p w14:paraId="69A3F07D" w14:textId="77777777" w:rsidR="00C83F58" w:rsidRDefault="00C8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75C7"/>
    <w:rsid w:val="00230497"/>
    <w:rsid w:val="007D124D"/>
    <w:rsid w:val="008B2E24"/>
    <w:rsid w:val="00920957"/>
    <w:rsid w:val="009B22C7"/>
    <w:rsid w:val="00A77B3E"/>
    <w:rsid w:val="00C83F58"/>
    <w:rsid w:val="00CA2A55"/>
    <w:rsid w:val="00E74C41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45F5F"/>
  <w15:docId w15:val="{C910D753-CD3E-44BF-90FB-109DFBE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Gaszowice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BR.0007.18.120.2025 z dnia 30 października 2025 r.</dc:title>
  <dc:subject>w sprawie zmiany uchwały NR BR.0007.14.96.2025 Rady Gminy Gaszowice z^dnia 26^czerwca 2025^r. w^sprawie Regulaminu udzielania dofinansowania do zadań służących zatrzymaniu wód opadowych i^roztopowych w^miejscu ich powstawania poprzez budowę zbiorników podziemnych i^naziemnych</dc:subject>
  <dc:creator>nbyglewska</dc:creator>
  <cp:lastModifiedBy>Aleksandra Franosz</cp:lastModifiedBy>
  <cp:revision>2</cp:revision>
  <dcterms:created xsi:type="dcterms:W3CDTF">2025-11-05T12:15:00Z</dcterms:created>
  <dcterms:modified xsi:type="dcterms:W3CDTF">2025-11-05T12:15:00Z</dcterms:modified>
  <cp:category>Akt prawny</cp:category>
</cp:coreProperties>
</file>